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7F393E5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F9CA7F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0F9CA7FD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0F9CA7F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0F9CA7FD" w:rsidR="0F5D4C57">
        <w:rPr>
          <w:rFonts w:ascii="Calibri" w:hAnsi="Calibri" w:eastAsia="Calibri" w:cs="Calibri"/>
          <w:b w:val="0"/>
          <w:bCs w:val="0"/>
          <w:sz w:val="22"/>
          <w:szCs w:val="22"/>
        </w:rPr>
        <w:t>Minnesota</w:t>
      </w:r>
      <w:r w:rsidRPr="0F9CA7F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0F9CA7FD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F9CA7F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6E1007BC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E1007BC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6E1007BC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75A12B3D" w:rsidP="6E1007BC" w:rsidRDefault="75A12B3D" w14:paraId="686199D3" w14:textId="5DA048B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1007BC" w:rsidR="75A12B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5A12B3D" w:rsidP="6E1007BC" w:rsidRDefault="75A12B3D" w14:paraId="5AE805C0" w14:textId="4DB9378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5A12B3D" w:rsidP="6E1007BC" w:rsidRDefault="75A12B3D" w14:paraId="5D7ADAD2" w14:textId="3B51E4B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5A12B3D" w:rsidP="6E1007BC" w:rsidRDefault="75A12B3D" w14:paraId="08D5B455" w14:textId="5510367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5A12B3D" w:rsidP="6E1007BC" w:rsidRDefault="75A12B3D" w14:paraId="144DE6CB" w14:textId="4630D4F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5A12B3D" w:rsidP="6E1007BC" w:rsidRDefault="75A12B3D" w14:paraId="7042D9A7" w14:textId="05286EC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5A12B3D" w:rsidP="6E1007BC" w:rsidRDefault="75A12B3D" w14:paraId="6A0E360C" w14:textId="4647300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5A12B3D" w:rsidP="6E1007BC" w:rsidRDefault="75A12B3D" w14:paraId="5BAF56FA" w14:textId="59F655C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5A12B3D" w:rsidP="6E1007BC" w:rsidRDefault="75A12B3D" w14:paraId="2B0D702A" w14:textId="1050761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1007BC" w:rsidR="75A12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E1007BC" w:rsidP="6E1007BC" w:rsidRDefault="6E1007BC" w14:paraId="6F0A9478" w14:textId="4A281F6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6E1007BC" w:rsidP="6E1007BC" w:rsidRDefault="6E1007BC" w14:paraId="691F5A72" w14:textId="0D00BDE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5D4C57"/>
    <w:rsid w:val="0F9CA7FD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9695CAE"/>
    <w:rsid w:val="3F7CE718"/>
    <w:rsid w:val="408F5C81"/>
    <w:rsid w:val="542F8625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6E1007BC"/>
    <w:rsid w:val="75A12B3D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2024-12-30T15:35:33.6497955Z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